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Техническое задание по Лоту №1</w:t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открытому запросу предложений  в электронной форме № 139 824</w:t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нужд: АО "Газпром газораспределение Оренбург"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8381" w:type="dxa"/>
            <w:vMerge w:val="restart"/>
            <w:gridSpan w:val="2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Предмет закупки.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ОКДП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ОКВЭД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8381" w:type="dxa"/>
            <w:vMerge w:val="continue"/>
            <w:gridSpan w:val="2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Предмет закупки.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  <w:br/>
              <w:t>
п/п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  <w:br/>
              <w:t>
изм.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  <w:br/>
              <w:t>
ество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Допустимость аналога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Грузополучатель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Место (адрес) поставки товара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  <w:br/>
              <w:t>
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D63х57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  <w:br/>
              <w:t>
Тип пэ труб: д. 63*5,8 мм, ПЭ 100 SDR 11, ГОСТ 50838-2009; тип стальных труб: д. 57*3,5 мм, ГОСТ 10704-91.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D90х89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  <w:br/>
              <w:t>
Тип пэ труб: д. 90*8,2 мм, ПЭ 100 SDR 11, ГОСТ 50838-2009; тип стальных труб: д. 89*4,0 мм, ГОСТ 10704-91.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D110х108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  <w:br/>
              <w:t>
Тип п/э труб: ПЭ 100 SDR11 Д 110*10,0мм ГОСТ 50838-2009,  тип стальных труб ГОСТ 10704-91 гр. "В", Д 108*4,0мм.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  <w:br/>
              <w:t>
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21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  <w:br/>
              <w:t>
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  <w:br/>
              <w:t>
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  <w:br/>
              <w:t>
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Условия поставки товаров</w:t>
            </w:r>
          </w:p>
        </w:tc>
      </w:tr>
      <w:tr>
        <w:trPr>
          <w:trHeight w:val="30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Грузополучатель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Филиал АО "Газпром газораспределение Оренбург" - "Газснабсервис"</w:t>
            </w:r>
          </w:p>
        </w:tc>
      </w:tr>
      <w:tr>
        <w:trPr>
          <w:trHeight w:val="30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Место (адрес) поставки товаров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57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Строго в соответствии с графиком поставки товара: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График поставки</w:t>
            </w:r>
          </w:p>
        </w:tc>
      </w:tr>
      <w:tr>
        <w:trPr>
          <w:trHeight w:val="49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  <w:br/>
              <w:t>
п/п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  <w:br/>
              <w:t>
ество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  <w:br/>
              <w:t>
изм.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Место (адрес) поставки товара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D63х57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D90х89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D110х108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Соединение неразъемное полиэтилен-сталь D32х25 ПЭ100 SDR11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Условия проведения закупочной процедуры.</w:t>
            </w:r>
          </w:p>
        </w:tc>
      </w:tr>
      <w:tr>
        <w:trPr>
          <w:trHeight w:val="84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89 503,41</w:t>
            </w:r>
          </w:p>
        </w:tc>
        <w:tc>
          <w:tcPr>
            <w:tcW w:w="2312" w:type="dxa"/>
            <w:vMerge w:val="restart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restart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30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В том числе НДС,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13 653,06</w:t>
            </w:r>
          </w:p>
        </w:tc>
        <w:tc>
          <w:tcPr>
            <w:tcW w:w="2312" w:type="dxa"/>
            <w:vMerge w:val="continue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continue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138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75 850,35</w:t>
            </w:r>
          </w:p>
        </w:tc>
        <w:tc>
          <w:tcPr>
            <w:tcW w:w="2312" w:type="dxa"/>
            <w:vMerge w:val="continue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continue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840" w:hRule="atLeast"/>
        </w:trPr>
        <w:tc>
          <w:tcPr>
            <w:tcW w:w="6647" w:type="dxa"/>
            <w:gridSpan w:val="2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Обязательное требование к условиям оплаты товара </w:t>
            </w:r>
          </w:p>
        </w:tc>
        <w:tc>
          <w:tcPr>
            <w:tcW w:w="7803" w:type="dxa"/>
            <w:gridSpan w:val="2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Оплата в течение 30 (тридцати) календарных дней с момента получения товара Грузополучателем по оригиналам правильно оформленных накладных по форме ТОРГ-12, счетам-фактурам или УПД.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