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6D6B45">
        <w:rPr>
          <w:rFonts w:ascii="Arial" w:hAnsi="Arial" w:cs="Arial"/>
          <w:b/>
          <w:sz w:val="24"/>
          <w:szCs w:val="24"/>
        </w:rPr>
        <w:t>6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175"/>
        <w:gridCol w:w="657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6D6B4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D6B45">
              <w:rPr>
                <w:rFonts w:ascii="Arial" w:hAnsi="Arial" w:cs="Arial"/>
              </w:rPr>
              <w:t>комплектующих</w:t>
            </w:r>
            <w:r w:rsidR="00E178AA">
              <w:rPr>
                <w:rFonts w:ascii="Arial" w:hAnsi="Arial" w:cs="Arial"/>
              </w:rPr>
              <w:t xml:space="preserve"> </w:t>
            </w:r>
            <w:r w:rsidR="0059418C">
              <w:rPr>
                <w:rFonts w:ascii="Arial" w:hAnsi="Arial" w:cs="Arial"/>
              </w:rPr>
              <w:t xml:space="preserve">для оборудования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59418C" w:rsidP="005941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378 528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триста семьдесят восемь тысяч пятьсот двадцать восемь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C2A47">
              <w:rPr>
                <w:rFonts w:ascii="Arial" w:hAnsi="Arial" w:cs="Arial"/>
              </w:rPr>
              <w:t>0</w:t>
            </w:r>
            <w:r w:rsidR="000F0BE5">
              <w:rPr>
                <w:rFonts w:ascii="Arial" w:hAnsi="Arial" w:cs="Arial"/>
              </w:rPr>
              <w:t>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E3F31">
        <w:trPr>
          <w:trHeight w:val="2010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347" w:type="dxa"/>
              <w:tblLook w:val="04A0" w:firstRow="1" w:lastRow="0" w:firstColumn="1" w:lastColumn="0" w:noHBand="0" w:noVBand="1"/>
            </w:tblPr>
            <w:tblGrid>
              <w:gridCol w:w="579"/>
              <w:gridCol w:w="4520"/>
              <w:gridCol w:w="620"/>
              <w:gridCol w:w="628"/>
            </w:tblGrid>
            <w:tr w:rsidR="0059418C" w:rsidRPr="0059418C" w:rsidTr="0059418C">
              <w:trPr>
                <w:trHeight w:val="51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59418C" w:rsidRPr="0059418C" w:rsidTr="0059418C">
              <w:trPr>
                <w:trHeight w:val="23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ВН1112061А (аналог PAFA4A07001_001) Вентилятор Асе 30/35 кВт, COAXIAL 13-30 кВт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418C" w:rsidRPr="0059418C" w:rsidTr="0059418C">
              <w:trPr>
                <w:trHeight w:val="9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ВН1410017С (аналог ВН1410017А) Гидроузел с краном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подпитк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Асе 13-24kw.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13-24kw.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BH1403077A Датчик контроля тяги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13-28kw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BH1410016B (аналог BH1410016A) Датчик протока отопления Асе 13-35kw,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9418C" w:rsidRPr="0059418C" w:rsidTr="0059418C">
              <w:trPr>
                <w:trHeight w:val="67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ВН1403071А (аналог ВН1403059А) Датчик температуры ГВС Асе 13-35kw,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BH2507445A Зажим циркуляционного насоса Асе 13-35kw.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9418C" w:rsidRPr="0059418C" w:rsidTr="0059418C">
              <w:trPr>
                <w:trHeight w:val="14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AAVC9EX00008A (аналог AAVC9EX00008, ЫАУС9ЕХ00008)Трехходовой клапан Ace13-35kw,Coaxial13-30kw,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59418C" w:rsidRPr="0059418C" w:rsidTr="0059418C">
              <w:trPr>
                <w:trHeight w:val="15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NAPU9GLPCT36 Циркуляционный насос с пробкой Асе 13-35kw,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13-24kw, NCN 21-40K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NACR1GS23104 Электронная плата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Ace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13-35kw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59418C" w:rsidRPr="0059418C" w:rsidTr="0059418C">
              <w:trPr>
                <w:trHeight w:val="12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PAS161STS 001 Теплообменник ГВС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Ace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13-20kw: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13-16kw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59418C" w:rsidRPr="0059418C" w:rsidTr="0059418C">
              <w:trPr>
                <w:trHeight w:val="7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PAS25KHE004 (аналог PAS251 STS_001.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PAS251 STS_004) Теплообменник ГВС Асе 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30kw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9418C" w:rsidRPr="0059418C" w:rsidTr="0059418C">
              <w:trPr>
                <w:trHeight w:val="22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PAS30KHE 004 (аналог PAS301STS 001, PAS301STS 004) Теплообменник ГВС Асе 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PASNGB25LSSC001 Первичный теплообменник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Ace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30kw.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30kw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PASNGB30LSSC001 Первичный теплообменник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Ace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35kw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9418C" w:rsidRPr="0059418C" w:rsidTr="0059418C">
              <w:trPr>
                <w:trHeight w:val="13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PASNGB13/16/20LSSC_ 001 Первичный теплообменник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Ace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13-24kw.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59418C" w:rsidRPr="0059418C" w:rsidTr="0059418C">
              <w:trPr>
                <w:trHeight w:val="14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NARC1GSNR016 Комнатный терморегулятор KDB-353GTD/150/200/300GA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NACR1GS23107 Электронная плата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59418C" w:rsidRPr="0059418C" w:rsidTr="0059418C">
              <w:trPr>
                <w:trHeight w:val="64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ВН2507406А зажим шланга Асе 13-35kw,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9418C" w:rsidRPr="0059418C" w:rsidTr="0059418C">
              <w:trPr>
                <w:trHeight w:val="353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ВН2507366А (аналог ВН2507366) труба подачи отопления(1) Асе 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kw,Coaxial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59418C" w:rsidRPr="0059418C" w:rsidTr="0059418C">
              <w:trPr>
                <w:trHeight w:val="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NH4610E137воздухоотводчик для насоса (NAPU9GLPCT16) Асе 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kw,Coaxial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13-24kw NCN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NASS9EX00006Датчик давления воздуха Асе13-35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kw,Coaxial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59418C" w:rsidRPr="0059418C" w:rsidTr="0059418C">
              <w:trPr>
                <w:trHeight w:val="19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Зажим трубный "Н" Асе 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(ВН2507446А)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9418C" w:rsidRPr="0059418C" w:rsidTr="0059418C">
              <w:trPr>
                <w:trHeight w:val="19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Клапан предохранительный Асе 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(ВН0905005А)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Манометр Асе 13-35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(ВН1051002А, ВН1001009А)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Прокладка циркуляционного насоса (ВН2406039А)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59418C" w:rsidRPr="0059418C" w:rsidTr="0059418C">
              <w:trPr>
                <w:trHeight w:val="6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Теплообменник ГВС Асе 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20-24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(PAS201STS_001, PAS201STS_002)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9418C" w:rsidRPr="0059418C" w:rsidTr="0059418C">
              <w:trPr>
                <w:trHeight w:val="17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Теплообменник первичный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20-24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kw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(PACNIB20/24LS_001)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9418C" w:rsidRPr="0059418C" w:rsidTr="0059418C">
              <w:trPr>
                <w:trHeight w:val="81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Датчик по перегреву (STB) Асе 13-35,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(ВН1401003A)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59418C" w:rsidRPr="0059418C" w:rsidTr="0059418C">
              <w:trPr>
                <w:trHeight w:val="821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Трансформатор розжига Асе 13-35,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(ВН1201043С, ВН1201022А)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59418C" w:rsidRPr="0059418C" w:rsidTr="0059418C">
              <w:trPr>
                <w:trHeight w:val="13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Электрод в сборе Асе 13-35,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Coaxial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13-30,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Atmo</w:t>
                  </w:r>
                  <w:proofErr w:type="spellEnd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13-24 (ВН2542001В,ВН2542001С,2001А) </w:t>
                  </w:r>
                  <w:proofErr w:type="spellStart"/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Навьен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18C" w:rsidRPr="0059418C" w:rsidRDefault="0059418C" w:rsidP="00594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418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B178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5941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941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5941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941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933DD"/>
    <w:rsid w:val="004A2776"/>
    <w:rsid w:val="004E2D5B"/>
    <w:rsid w:val="00500856"/>
    <w:rsid w:val="00521535"/>
    <w:rsid w:val="00550183"/>
    <w:rsid w:val="005526F1"/>
    <w:rsid w:val="00557205"/>
    <w:rsid w:val="0059418C"/>
    <w:rsid w:val="0059764C"/>
    <w:rsid w:val="005B3B7A"/>
    <w:rsid w:val="00613C80"/>
    <w:rsid w:val="006313E4"/>
    <w:rsid w:val="0066508F"/>
    <w:rsid w:val="006B5D1E"/>
    <w:rsid w:val="006D6B45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178A6"/>
    <w:rsid w:val="00B2254C"/>
    <w:rsid w:val="00B27530"/>
    <w:rsid w:val="00B616DC"/>
    <w:rsid w:val="00B70BD6"/>
    <w:rsid w:val="00B74145"/>
    <w:rsid w:val="00C01F77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9328-79C2-441E-AD04-9615939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111</cp:revision>
  <cp:lastPrinted>2012-06-05T11:19:00Z</cp:lastPrinted>
  <dcterms:created xsi:type="dcterms:W3CDTF">2012-03-26T14:01:00Z</dcterms:created>
  <dcterms:modified xsi:type="dcterms:W3CDTF">2012-06-06T05:47:00Z</dcterms:modified>
</cp:coreProperties>
</file>