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3C08A2">
        <w:rPr>
          <w:rFonts w:ascii="Arial" w:hAnsi="Arial" w:cs="Arial"/>
          <w:b/>
        </w:rPr>
        <w:t>клапанов термозапорных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DA7E37">
        <w:rPr>
          <w:rStyle w:val="FontStyle39"/>
          <w:rFonts w:ascii="Arial" w:hAnsi="Arial" w:cs="Arial"/>
          <w:sz w:val="24"/>
          <w:szCs w:val="24"/>
        </w:rPr>
        <w:t>6</w:t>
      </w:r>
      <w:r w:rsidR="003C08A2">
        <w:rPr>
          <w:rStyle w:val="FontStyle39"/>
          <w:rFonts w:ascii="Arial" w:hAnsi="Arial" w:cs="Arial"/>
          <w:sz w:val="24"/>
          <w:szCs w:val="24"/>
        </w:rPr>
        <w:t>7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1F36D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1F36DA">
              <w:rPr>
                <w:rFonts w:ascii="Arial" w:hAnsi="Arial" w:cs="Arial"/>
              </w:rPr>
              <w:t xml:space="preserve">клапанов </w:t>
            </w:r>
            <w:proofErr w:type="spellStart"/>
            <w:r w:rsidR="001F36DA">
              <w:rPr>
                <w:rFonts w:ascii="Arial" w:hAnsi="Arial" w:cs="Arial"/>
              </w:rPr>
              <w:t>термозапорных</w:t>
            </w:r>
            <w:proofErr w:type="spellEnd"/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терминал транспортной компании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 силами Поставщика за счет Покупателя.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десяти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1F36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</w:t>
            </w:r>
            <w:r w:rsidR="00DA7E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я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60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718"/>
              <w:gridCol w:w="2693"/>
              <w:gridCol w:w="709"/>
              <w:gridCol w:w="760"/>
            </w:tblGrid>
            <w:tr w:rsidR="001F36DA" w:rsidRPr="001F36DA" w:rsidTr="001F36DA">
              <w:trPr>
                <w:trHeight w:val="25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1F36DA" w:rsidRPr="001F36DA" w:rsidTr="001F36DA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F36DA" w:rsidRPr="001F36DA" w:rsidTr="001F36DA">
              <w:trPr>
                <w:trHeight w:val="1336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Клапан </w:t>
                  </w:r>
                  <w:proofErr w:type="spell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термозапорный</w:t>
                  </w:r>
                  <w:proofErr w:type="spell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 КТЗ-001-15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Рабочее давление газа – до 0,5 (5) МПа (кгс/см²), Температура окружающей среды от – 20 до +60</w:t>
                  </w:r>
                  <w:proofErr w:type="gram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ºС</w:t>
                  </w:r>
                  <w:proofErr w:type="gram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, температура срабатывания не превышает 100 </w:t>
                  </w:r>
                  <w:r w:rsidRPr="001F36DA">
                    <w:rPr>
                      <w:rFonts w:ascii="Calibri" w:hAnsi="Calibri" w:cs="Calibri"/>
                      <w:sz w:val="18"/>
                      <w:szCs w:val="18"/>
                    </w:rPr>
                    <w:t>°</w:t>
                  </w: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С, материал - сталь. ГОСТ 52316-2005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5100</w:t>
                  </w:r>
                </w:p>
              </w:tc>
            </w:tr>
            <w:tr w:rsidR="001F36DA" w:rsidRPr="001F36DA" w:rsidTr="001F36DA">
              <w:trPr>
                <w:trHeight w:val="1347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Клапан </w:t>
                  </w:r>
                  <w:proofErr w:type="spell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термозапорный</w:t>
                  </w:r>
                  <w:proofErr w:type="spell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 КТЗ-001-20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Рабочее давление газа – до 0,5 (5) МПа (кгс/см²), Температура окружающей среды от – 20 до +60</w:t>
                  </w:r>
                  <w:proofErr w:type="gram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ºС</w:t>
                  </w:r>
                  <w:proofErr w:type="gram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, температура срабатывания не превышает 100 </w:t>
                  </w:r>
                  <w:r w:rsidRPr="001F36DA">
                    <w:rPr>
                      <w:rFonts w:ascii="Calibri" w:hAnsi="Calibri" w:cs="Calibri"/>
                      <w:sz w:val="18"/>
                      <w:szCs w:val="18"/>
                    </w:rPr>
                    <w:t>°</w:t>
                  </w: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С, материал - сталь. ГОСТ 52316-2005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5500</w:t>
                  </w:r>
                </w:p>
              </w:tc>
            </w:tr>
            <w:tr w:rsidR="001F36DA" w:rsidRPr="001F36DA" w:rsidTr="001F36DA">
              <w:trPr>
                <w:trHeight w:val="153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Клапан </w:t>
                  </w:r>
                  <w:proofErr w:type="spell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термозапорный</w:t>
                  </w:r>
                  <w:proofErr w:type="spell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 КТЗ-001-25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Рабочее давление газа – до 0,5 (5) МПа (кгс/см²), Температура окружающей среды от – 20 до +60</w:t>
                  </w:r>
                  <w:proofErr w:type="gram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ºС</w:t>
                  </w:r>
                  <w:proofErr w:type="gram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, температура срабатывания не превышает 100 </w:t>
                  </w:r>
                  <w:r w:rsidRPr="001F36DA">
                    <w:rPr>
                      <w:rFonts w:ascii="Calibri" w:hAnsi="Calibri" w:cs="Calibri"/>
                      <w:sz w:val="18"/>
                      <w:szCs w:val="18"/>
                    </w:rPr>
                    <w:t>°</w:t>
                  </w: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С, материал - сталь. ГОСТ 52316-2005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1300</w:t>
                  </w:r>
                </w:p>
              </w:tc>
            </w:tr>
            <w:tr w:rsidR="001F36DA" w:rsidRPr="001F36DA" w:rsidTr="001F36DA">
              <w:trPr>
                <w:trHeight w:val="1418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Клапан </w:t>
                  </w:r>
                  <w:proofErr w:type="spell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термозапорный</w:t>
                  </w:r>
                  <w:proofErr w:type="spell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 КТЗ-001-32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Рабочее давление газа – до 0,5 (5) МПа (кгс/см²), Температура окружающей среды от – 20 до +60</w:t>
                  </w:r>
                  <w:proofErr w:type="gram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ºС</w:t>
                  </w:r>
                  <w:proofErr w:type="gram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, температура срабатывания не превышает 100 </w:t>
                  </w:r>
                  <w:r w:rsidRPr="001F36DA">
                    <w:rPr>
                      <w:rFonts w:ascii="Calibri" w:hAnsi="Calibri" w:cs="Calibri"/>
                      <w:sz w:val="18"/>
                      <w:szCs w:val="18"/>
                    </w:rPr>
                    <w:t>°</w:t>
                  </w: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С, материал - сталь. ГОСТ 52316-2005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90</w:t>
                  </w:r>
                </w:p>
              </w:tc>
            </w:tr>
            <w:tr w:rsidR="001F36DA" w:rsidRPr="001F36DA" w:rsidTr="001F36DA">
              <w:trPr>
                <w:trHeight w:val="733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36D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Клапан </w:t>
                  </w:r>
                  <w:proofErr w:type="spell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термозапорный</w:t>
                  </w:r>
                  <w:proofErr w:type="spell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 КТЗ-001-50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Рабочее давление газа – до 1,6 (16) МПа (кгс/см²), Температура окружающей среды от – 20 до +60</w:t>
                  </w:r>
                  <w:proofErr w:type="gramStart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ºС</w:t>
                  </w:r>
                  <w:proofErr w:type="gramEnd"/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 xml:space="preserve">, температура срабатывания не превышает 100 </w:t>
                  </w:r>
                  <w:r w:rsidRPr="001F36DA">
                    <w:rPr>
                      <w:rFonts w:ascii="Calibri" w:hAnsi="Calibri" w:cs="Calibri"/>
                      <w:sz w:val="18"/>
                      <w:szCs w:val="18"/>
                    </w:rPr>
                    <w:t>°</w:t>
                  </w: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С, материал - сталь, ГОСТ 52316-2005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6DA" w:rsidRPr="001F36DA" w:rsidRDefault="001F36DA" w:rsidP="001F36D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36DA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1F36DA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6DA" w:rsidRPr="000B5E90" w:rsidRDefault="001F36D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6DA" w:rsidRPr="000B5E90" w:rsidRDefault="001F36D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6DA" w:rsidRPr="00EA4BB6" w:rsidRDefault="001F36DA" w:rsidP="001F36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1 849 300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восемьсот сорок девять тысяч триста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E37" w:rsidRPr="00EA4BB6" w:rsidRDefault="004677D5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 w:rsidR="00DC4475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Критерии оценки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подачи Заявок   на  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1F36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1F36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1F36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36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C4475" w:rsidRDefault="00DC4475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757422" w:rsidRDefault="0075742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757422">
        <w:rPr>
          <w:rFonts w:ascii="Arial" w:hAnsi="Arial" w:cs="Arial"/>
        </w:rPr>
        <w:t>6</w:t>
      </w:r>
      <w:r w:rsidR="00A23483">
        <w:rPr>
          <w:rFonts w:ascii="Arial" w:hAnsi="Arial" w:cs="Arial"/>
        </w:rPr>
        <w:t>7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A23483">
        <w:rPr>
          <w:rFonts w:ascii="Arial" w:hAnsi="Arial" w:cs="Arial"/>
        </w:rPr>
        <w:t>транспортной компанией</w:t>
      </w:r>
      <w:r w:rsidR="004260B7">
        <w:rPr>
          <w:rFonts w:ascii="Arial" w:hAnsi="Arial" w:cs="Arial"/>
        </w:rPr>
        <w:t xml:space="preserve"> силами Поставщика за счет покупателя</w:t>
      </w:r>
      <w:proofErr w:type="gramStart"/>
      <w:r w:rsidR="004260B7">
        <w:rPr>
          <w:rFonts w:ascii="Arial" w:hAnsi="Arial" w:cs="Arial"/>
        </w:rPr>
        <w:t>.</w:t>
      </w:r>
      <w:r w:rsidRPr="007D17F1">
        <w:rPr>
          <w:rFonts w:ascii="Arial" w:hAnsi="Arial" w:cs="Arial"/>
        </w:rPr>
        <w:t>.</w:t>
      </w:r>
      <w:proofErr w:type="gramEnd"/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4260B7">
        <w:rPr>
          <w:rFonts w:ascii="Arial" w:hAnsi="Arial" w:cs="Arial"/>
        </w:rPr>
        <w:t>, терминал транспортной компании</w:t>
      </w:r>
      <w:r w:rsidR="00DC4475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4260B7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 w:rsidR="004260B7"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>) банковск</w:t>
      </w:r>
      <w:r w:rsidR="004260B7">
        <w:rPr>
          <w:rFonts w:ascii="Arial" w:hAnsi="Arial" w:cs="Arial"/>
        </w:rPr>
        <w:t>их</w:t>
      </w:r>
      <w:r w:rsidRPr="007D17F1">
        <w:rPr>
          <w:rFonts w:ascii="Arial" w:hAnsi="Arial" w:cs="Arial"/>
        </w:rPr>
        <w:t xml:space="preserve"> дн</w:t>
      </w:r>
      <w:r w:rsidR="004260B7">
        <w:rPr>
          <w:rFonts w:ascii="Arial" w:hAnsi="Arial" w:cs="Arial"/>
        </w:rPr>
        <w:t>ей</w:t>
      </w:r>
      <w:r w:rsidRPr="007D17F1">
        <w:rPr>
          <w:rFonts w:ascii="Arial" w:hAnsi="Arial" w:cs="Arial"/>
        </w:rPr>
        <w:t xml:space="preserve">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602"/>
        <w:gridCol w:w="745"/>
        <w:gridCol w:w="747"/>
        <w:gridCol w:w="1966"/>
        <w:gridCol w:w="1843"/>
      </w:tblGrid>
      <w:tr w:rsidR="004260B7" w:rsidRPr="00740B9F" w:rsidTr="004260B7">
        <w:trPr>
          <w:trHeight w:val="49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740B9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40B9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КТЗ-001-15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5100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КТЗ-001-25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КТЗ-001-32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98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98"/>
          <w:jc w:val="center"/>
        </w:trPr>
        <w:tc>
          <w:tcPr>
            <w:tcW w:w="5797" w:type="dxa"/>
            <w:gridSpan w:val="4"/>
            <w:shd w:val="clear" w:color="auto" w:fill="auto"/>
            <w:vAlign w:val="center"/>
          </w:tcPr>
          <w:p w:rsidR="004260B7" w:rsidRPr="00740B9F" w:rsidRDefault="004260B7" w:rsidP="004260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98"/>
          <w:jc w:val="center"/>
        </w:trPr>
        <w:tc>
          <w:tcPr>
            <w:tcW w:w="5797" w:type="dxa"/>
            <w:gridSpan w:val="4"/>
            <w:shd w:val="clear" w:color="auto" w:fill="auto"/>
            <w:vAlign w:val="center"/>
          </w:tcPr>
          <w:p w:rsidR="004260B7" w:rsidRPr="00740B9F" w:rsidRDefault="004260B7" w:rsidP="004260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98"/>
          <w:jc w:val="center"/>
        </w:trPr>
        <w:tc>
          <w:tcPr>
            <w:tcW w:w="5797" w:type="dxa"/>
            <w:gridSpan w:val="4"/>
            <w:shd w:val="clear" w:color="auto" w:fill="auto"/>
            <w:vAlign w:val="center"/>
          </w:tcPr>
          <w:p w:rsidR="004260B7" w:rsidRPr="00740B9F" w:rsidRDefault="004260B7" w:rsidP="004260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422" w:rsidRDefault="00757422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DC4475" w:rsidRDefault="00DC447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DC4475" w:rsidRPr="007D17F1" w:rsidRDefault="00DC4475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DC4475" w:rsidRPr="007D17F1" w:rsidRDefault="00DC447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260B7" w:rsidRDefault="004260B7" w:rsidP="004627A0">
      <w:pPr>
        <w:jc w:val="right"/>
        <w:rPr>
          <w:rFonts w:ascii="Arial" w:hAnsi="Arial" w:cs="Arial"/>
        </w:rPr>
      </w:pPr>
    </w:p>
    <w:p w:rsidR="004260B7" w:rsidRDefault="004260B7" w:rsidP="004627A0">
      <w:pPr>
        <w:jc w:val="right"/>
        <w:rPr>
          <w:rFonts w:ascii="Arial" w:hAnsi="Arial" w:cs="Arial"/>
        </w:rPr>
      </w:pPr>
    </w:p>
    <w:p w:rsidR="004260B7" w:rsidRDefault="004260B7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757422" w:rsidRDefault="00757422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4260B7" w:rsidRDefault="004260B7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260B7" w:rsidRDefault="004260B7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602"/>
        <w:gridCol w:w="745"/>
        <w:gridCol w:w="747"/>
        <w:gridCol w:w="1966"/>
      </w:tblGrid>
      <w:tr w:rsidR="004260B7" w:rsidRPr="00740B9F" w:rsidTr="004260B7">
        <w:trPr>
          <w:trHeight w:val="49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740B9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40B9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66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КТЗ-001-15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5100</w:t>
            </w:r>
          </w:p>
        </w:tc>
        <w:tc>
          <w:tcPr>
            <w:tcW w:w="1966" w:type="dxa"/>
            <w:vMerge w:val="restart"/>
            <w:vAlign w:val="center"/>
          </w:tcPr>
          <w:p w:rsidR="004260B7" w:rsidRPr="00740B9F" w:rsidRDefault="004260B7" w:rsidP="004260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десяти</w:t>
            </w:r>
            <w:r>
              <w:rPr>
                <w:rFonts w:ascii="Arial" w:hAnsi="Arial" w:cs="Arial"/>
                <w:sz w:val="18"/>
                <w:szCs w:val="18"/>
              </w:rPr>
              <w:t>) дней с момента заключения договора</w:t>
            </w: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КТЗ-001-20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1966" w:type="dxa"/>
            <w:vMerge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КТЗ-001-25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966" w:type="dxa"/>
            <w:vMerge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6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КТЗ-001-32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966" w:type="dxa"/>
            <w:vMerge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0B7" w:rsidRPr="00740B9F" w:rsidTr="004260B7">
        <w:trPr>
          <w:trHeight w:val="98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B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2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 xml:space="preserve">Клапан </w:t>
            </w:r>
            <w:proofErr w:type="spellStart"/>
            <w:r w:rsidRPr="00740B9F">
              <w:rPr>
                <w:rFonts w:ascii="Arial" w:hAnsi="Arial" w:cs="Arial"/>
                <w:sz w:val="18"/>
                <w:szCs w:val="18"/>
              </w:rPr>
              <w:t>термозапорный</w:t>
            </w:r>
            <w:proofErr w:type="spellEnd"/>
            <w:r w:rsidRPr="00740B9F">
              <w:rPr>
                <w:rFonts w:ascii="Arial" w:hAnsi="Arial" w:cs="Arial"/>
                <w:sz w:val="18"/>
                <w:szCs w:val="18"/>
              </w:rPr>
              <w:t xml:space="preserve"> КТЗ-001-50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47" w:type="dxa"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B9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66" w:type="dxa"/>
            <w:vMerge/>
            <w:vAlign w:val="center"/>
          </w:tcPr>
          <w:p w:rsidR="004260B7" w:rsidRPr="00740B9F" w:rsidRDefault="004260B7" w:rsidP="00023A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260B7" w:rsidRDefault="004260B7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757422" w:rsidRDefault="00757422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1933BE" w:rsidRDefault="001933BE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ED0419" w:rsidRPr="007D17F1" w:rsidRDefault="00ED0419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ED0419" w:rsidRPr="007D17F1" w:rsidRDefault="00ED0419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9F" w:rsidRDefault="0051249F">
      <w:r>
        <w:separator/>
      </w:r>
    </w:p>
  </w:endnote>
  <w:endnote w:type="continuationSeparator" w:id="0">
    <w:p w:rsidR="0051249F" w:rsidRDefault="0051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9F" w:rsidRDefault="0051249F">
      <w:r>
        <w:separator/>
      </w:r>
    </w:p>
  </w:footnote>
  <w:footnote w:type="continuationSeparator" w:id="0">
    <w:p w:rsidR="0051249F" w:rsidRDefault="0051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33BE"/>
    <w:rsid w:val="00195864"/>
    <w:rsid w:val="0019677C"/>
    <w:rsid w:val="001A154A"/>
    <w:rsid w:val="001B1EE1"/>
    <w:rsid w:val="001C6985"/>
    <w:rsid w:val="001C775A"/>
    <w:rsid w:val="001D05C5"/>
    <w:rsid w:val="001E1421"/>
    <w:rsid w:val="001E279B"/>
    <w:rsid w:val="001F0498"/>
    <w:rsid w:val="001F36DA"/>
    <w:rsid w:val="001F3716"/>
    <w:rsid w:val="002033CC"/>
    <w:rsid w:val="00204363"/>
    <w:rsid w:val="00207405"/>
    <w:rsid w:val="002143AD"/>
    <w:rsid w:val="00217159"/>
    <w:rsid w:val="00221151"/>
    <w:rsid w:val="002307C2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C08A2"/>
    <w:rsid w:val="003D63C3"/>
    <w:rsid w:val="003E09E7"/>
    <w:rsid w:val="003E25BF"/>
    <w:rsid w:val="00404C18"/>
    <w:rsid w:val="00406172"/>
    <w:rsid w:val="00416FEC"/>
    <w:rsid w:val="004238AC"/>
    <w:rsid w:val="004260B7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249F"/>
    <w:rsid w:val="00516D7F"/>
    <w:rsid w:val="00523858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676B0"/>
    <w:rsid w:val="00676C7C"/>
    <w:rsid w:val="006B231A"/>
    <w:rsid w:val="006C5067"/>
    <w:rsid w:val="006D6145"/>
    <w:rsid w:val="006D7E2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57422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A4836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01CD"/>
    <w:rsid w:val="009D5731"/>
    <w:rsid w:val="009D6D59"/>
    <w:rsid w:val="009D7FE0"/>
    <w:rsid w:val="009E1318"/>
    <w:rsid w:val="00A027D4"/>
    <w:rsid w:val="00A0388C"/>
    <w:rsid w:val="00A11B71"/>
    <w:rsid w:val="00A21B61"/>
    <w:rsid w:val="00A23483"/>
    <w:rsid w:val="00A31684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A7E37"/>
    <w:rsid w:val="00DB074A"/>
    <w:rsid w:val="00DC4475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419"/>
    <w:rsid w:val="00ED0F04"/>
    <w:rsid w:val="00ED712F"/>
    <w:rsid w:val="00EE08F1"/>
    <w:rsid w:val="00EE5414"/>
    <w:rsid w:val="00F0545D"/>
    <w:rsid w:val="00F1067F"/>
    <w:rsid w:val="00F33FB7"/>
    <w:rsid w:val="00F44CB3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470-0CF7-4E8F-9E95-15B9876B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19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112</cp:revision>
  <cp:lastPrinted>2012-06-08T04:10:00Z</cp:lastPrinted>
  <dcterms:created xsi:type="dcterms:W3CDTF">2012-03-26T14:13:00Z</dcterms:created>
  <dcterms:modified xsi:type="dcterms:W3CDTF">2012-06-08T11:31:00Z</dcterms:modified>
</cp:coreProperties>
</file>